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bookmarkStart w:id="0" w:name="_GoBack"/>
      <w:bookmarkEnd w:id="0"/>
    </w:p>
    <w:p>
      <w:pPr>
        <w:jc w:val="center"/>
        <w:rPr>
          <w:sz w:val="28"/>
          <w:szCs w:val="28"/>
        </w:rPr>
      </w:pPr>
      <w:r>
        <w:rPr>
          <w:sz w:val="28"/>
          <w:szCs w:val="28"/>
        </w:rPr>
        <w:t>РОССИЙСКАЯ ФЕДЕРАЦИЯ</w:t>
      </w:r>
    </w:p>
    <w:p>
      <w:pPr>
        <w:jc w:val="center"/>
        <w:rPr>
          <w:sz w:val="28"/>
          <w:szCs w:val="28"/>
        </w:rPr>
      </w:pPr>
      <w:r>
        <w:rPr>
          <w:sz w:val="28"/>
          <w:szCs w:val="28"/>
        </w:rPr>
        <w:t>РОСТОВСКАЯ ОБЛАСТЬ</w:t>
      </w:r>
    </w:p>
    <w:p>
      <w:pPr>
        <w:jc w:val="center"/>
        <w:rPr>
          <w:sz w:val="28"/>
          <w:szCs w:val="28"/>
        </w:rPr>
      </w:pPr>
      <w:r>
        <w:rPr>
          <w:sz w:val="28"/>
          <w:szCs w:val="28"/>
        </w:rPr>
        <w:t>МОРОЗОВСКИЙ РАЙОН</w:t>
      </w:r>
    </w:p>
    <w:p>
      <w:pPr>
        <w:jc w:val="center"/>
        <w:rPr>
          <w:sz w:val="28"/>
          <w:szCs w:val="28"/>
        </w:rPr>
      </w:pPr>
      <w:r>
        <w:rPr>
          <w:sz w:val="28"/>
          <w:szCs w:val="28"/>
        </w:rPr>
        <w:t xml:space="preserve">АДМИНИСТРАЦИЯ </w:t>
      </w:r>
    </w:p>
    <w:p>
      <w:pPr>
        <w:rPr>
          <w:sz w:val="28"/>
          <w:szCs w:val="28"/>
        </w:rPr>
      </w:pPr>
      <w:r>
        <w:rPr>
          <w:sz w:val="28"/>
          <w:szCs w:val="28"/>
        </w:rPr>
        <w:t xml:space="preserve">                                                      ГРУЗИНОВСКОГО</w:t>
      </w:r>
    </w:p>
    <w:p>
      <w:pPr>
        <w:jc w:val="center"/>
        <w:rPr>
          <w:sz w:val="28"/>
          <w:szCs w:val="28"/>
        </w:rPr>
      </w:pPr>
      <w:r>
        <w:rPr>
          <w:sz w:val="28"/>
          <w:szCs w:val="28"/>
        </w:rPr>
        <w:t xml:space="preserve"> СЕЛЬСКОГО ПОСЕЛЕНИЯ</w:t>
      </w:r>
    </w:p>
    <w:p>
      <w:pPr>
        <w:tabs>
          <w:tab w:val="center" w:pos="5032"/>
          <w:tab w:val="left" w:pos="7785"/>
        </w:tabs>
        <w:rPr>
          <w:sz w:val="28"/>
          <w:szCs w:val="28"/>
        </w:rPr>
      </w:pPr>
    </w:p>
    <w:p>
      <w:pPr>
        <w:tabs>
          <w:tab w:val="center" w:pos="5032"/>
          <w:tab w:val="left" w:pos="7785"/>
        </w:tabs>
        <w:rPr>
          <w:sz w:val="28"/>
          <w:szCs w:val="28"/>
        </w:rPr>
      </w:pPr>
      <w:r>
        <w:rPr>
          <w:sz w:val="28"/>
          <w:szCs w:val="28"/>
        </w:rPr>
        <w:t xml:space="preserve">                                                ПОСТАНОВЛЕНИЕ</w:t>
      </w:r>
      <w:r>
        <w:rPr>
          <w:sz w:val="28"/>
          <w:szCs w:val="28"/>
        </w:rPr>
        <w:tab/>
      </w:r>
    </w:p>
    <w:p>
      <w:pPr>
        <w:rPr>
          <w:sz w:val="28"/>
          <w:szCs w:val="28"/>
        </w:rPr>
      </w:pPr>
    </w:p>
    <w:tbl>
      <w:tblPr>
        <w:tblStyle w:val="8"/>
        <w:tblW w:w="9854" w:type="dxa"/>
        <w:tblInd w:w="0" w:type="dxa"/>
        <w:tblLayout w:type="autofit"/>
        <w:tblCellMar>
          <w:top w:w="0" w:type="dxa"/>
          <w:left w:w="115" w:type="dxa"/>
          <w:bottom w:w="0" w:type="dxa"/>
          <w:right w:w="108" w:type="dxa"/>
        </w:tblCellMar>
      </w:tblPr>
      <w:tblGrid>
        <w:gridCol w:w="4361"/>
        <w:gridCol w:w="1134"/>
        <w:gridCol w:w="4359"/>
      </w:tblGrid>
      <w:tr>
        <w:tblPrEx>
          <w:tblCellMar>
            <w:top w:w="0" w:type="dxa"/>
            <w:left w:w="115" w:type="dxa"/>
            <w:bottom w:w="0" w:type="dxa"/>
            <w:right w:w="108" w:type="dxa"/>
          </w:tblCellMar>
        </w:tblPrEx>
        <w:trPr>
          <w:cantSplit/>
        </w:trPr>
        <w:tc>
          <w:tcPr>
            <w:tcW w:w="4361" w:type="dxa"/>
            <w:shd w:val="clear" w:color="auto" w:fill="auto"/>
          </w:tcPr>
          <w:p>
            <w:pPr>
              <w:jc w:val="both"/>
            </w:pPr>
            <w:r>
              <w:rPr>
                <w:sz w:val="28"/>
                <w:szCs w:val="28"/>
              </w:rPr>
              <w:t>«</w:t>
            </w:r>
            <w:r>
              <w:rPr>
                <w:rFonts w:hint="default"/>
                <w:sz w:val="28"/>
                <w:szCs w:val="28"/>
                <w:lang w:val="ru-RU"/>
              </w:rPr>
              <w:t>22</w:t>
            </w:r>
            <w:r>
              <w:rPr>
                <w:sz w:val="28"/>
                <w:szCs w:val="28"/>
              </w:rPr>
              <w:t xml:space="preserve">» </w:t>
            </w:r>
            <w:r>
              <w:rPr>
                <w:sz w:val="28"/>
                <w:szCs w:val="28"/>
                <w:lang w:val="ru-RU"/>
              </w:rPr>
              <w:t>сентября</w:t>
            </w:r>
            <w:r>
              <w:rPr>
                <w:rFonts w:hint="default"/>
                <w:sz w:val="28"/>
                <w:szCs w:val="28"/>
                <w:lang w:val="ru-RU"/>
              </w:rPr>
              <w:t xml:space="preserve"> </w:t>
            </w:r>
            <w:r>
              <w:rPr>
                <w:sz w:val="28"/>
                <w:szCs w:val="28"/>
              </w:rPr>
              <w:t>2022 г.</w:t>
            </w:r>
          </w:p>
        </w:tc>
        <w:tc>
          <w:tcPr>
            <w:tcW w:w="1134" w:type="dxa"/>
            <w:shd w:val="clear" w:color="auto" w:fill="auto"/>
          </w:tcPr>
          <w:p>
            <w:pPr>
              <w:jc w:val="center"/>
              <w:rPr>
                <w:rFonts w:hint="default"/>
                <w:sz w:val="28"/>
                <w:szCs w:val="28"/>
                <w:lang w:val="ru-RU"/>
              </w:rPr>
            </w:pPr>
            <w:r>
              <w:rPr>
                <w:sz w:val="28"/>
                <w:szCs w:val="28"/>
              </w:rPr>
              <w:t xml:space="preserve">№ </w:t>
            </w:r>
            <w:r>
              <w:rPr>
                <w:rFonts w:hint="default"/>
                <w:sz w:val="28"/>
                <w:szCs w:val="28"/>
                <w:lang w:val="ru-RU"/>
              </w:rPr>
              <w:t>55</w:t>
            </w:r>
          </w:p>
        </w:tc>
        <w:tc>
          <w:tcPr>
            <w:tcW w:w="4359" w:type="dxa"/>
            <w:shd w:val="clear" w:color="auto" w:fill="auto"/>
          </w:tcPr>
          <w:p>
            <w:pPr>
              <w:jc w:val="right"/>
              <w:rPr>
                <w:sz w:val="28"/>
                <w:szCs w:val="28"/>
              </w:rPr>
            </w:pPr>
            <w:r>
              <w:rPr>
                <w:sz w:val="28"/>
                <w:szCs w:val="28"/>
              </w:rPr>
              <w:t>х.Грузинов</w:t>
            </w:r>
          </w:p>
        </w:tc>
      </w:tr>
    </w:tbl>
    <w:p/>
    <w:p>
      <w:pPr>
        <w:rPr>
          <w:vanish/>
        </w:rPr>
      </w:pPr>
      <w: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48895</wp:posOffset>
                </wp:positionV>
                <wp:extent cx="4209415" cy="596900"/>
                <wp:effectExtent l="4445" t="5080" r="15240" b="7620"/>
                <wp:wrapSquare wrapText="bothSides"/>
                <wp:docPr id="1" name="Прямоугольник 2"/>
                <wp:cNvGraphicFramePr/>
                <a:graphic xmlns:a="http://schemas.openxmlformats.org/drawingml/2006/main">
                  <a:graphicData uri="http://schemas.microsoft.com/office/word/2010/wordprocessingShape">
                    <wps:wsp>
                      <wps:cNvSpPr/>
                      <wps:spPr>
                        <a:xfrm>
                          <a:off x="0" y="0"/>
                          <a:ext cx="4209415" cy="596900"/>
                        </a:xfrm>
                        <a:prstGeom prst="rect">
                          <a:avLst/>
                        </a:prstGeom>
                        <a:solidFill>
                          <a:srgbClr val="FFFFFF"/>
                        </a:solidFill>
                        <a:ln w="9525" cap="flat" cmpd="sng">
                          <a:solidFill>
                            <a:srgbClr val="000000"/>
                          </a:solidFill>
                          <a:prstDash val="solid"/>
                          <a:miter/>
                          <a:headEnd type="none" w="med" len="med"/>
                          <a:tailEnd type="none" w="med" len="med"/>
                        </a:ln>
                      </wps:spPr>
                      <wps:txbx>
                        <w:txbxContent>
                          <w:tbl>
                            <w:tblPr>
                              <w:tblStyle w:val="8"/>
                              <w:tblW w:w="6629" w:type="dxa"/>
                              <w:tblInd w:w="108" w:type="dxa"/>
                              <w:tblLayout w:type="autofit"/>
                              <w:tblCellMar>
                                <w:top w:w="0" w:type="dxa"/>
                                <w:left w:w="108" w:type="dxa"/>
                                <w:bottom w:w="0" w:type="dxa"/>
                                <w:right w:w="108" w:type="dxa"/>
                              </w:tblCellMar>
                            </w:tblPr>
                            <w:tblGrid>
                              <w:gridCol w:w="6629"/>
                            </w:tblGrid>
                            <w:tr>
                              <w:tblPrEx>
                                <w:tblCellMar>
                                  <w:top w:w="0" w:type="dxa"/>
                                  <w:left w:w="108" w:type="dxa"/>
                                  <w:bottom w:w="0" w:type="dxa"/>
                                  <w:right w:w="108" w:type="dxa"/>
                                </w:tblCellMar>
                              </w:tblPrEx>
                              <w:trPr>
                                <w:trHeight w:val="2835" w:hRule="atLeast"/>
                              </w:trPr>
                              <w:tc>
                                <w:tcPr>
                                  <w:tcW w:w="6629" w:type="dxa"/>
                                  <w:shd w:val="clear" w:color="auto" w:fill="auto"/>
                                </w:tcPr>
                                <w:p>
                                  <w:pPr>
                                    <w:jc w:val="both"/>
                                  </w:pPr>
                                  <w:r>
                                    <w:rPr>
                                      <w:sz w:val="28"/>
                                      <w:szCs w:val="28"/>
                                      <w:lang w:eastAsia="en-US"/>
                                    </w:rPr>
                                    <w:t xml:space="preserve"> «Об </w:t>
                                  </w:r>
                                  <w:r>
                                    <w:rPr>
                                      <w:sz w:val="28"/>
                                      <w:szCs w:val="28"/>
                                      <w:lang w:val="ru-RU" w:eastAsia="en-US"/>
                                    </w:rPr>
                                    <w:t>особенностях</w:t>
                                  </w:r>
                                  <w:r>
                                    <w:rPr>
                                      <w:rFonts w:hint="default"/>
                                      <w:sz w:val="28"/>
                                      <w:szCs w:val="28"/>
                                      <w:lang w:val="ru-RU" w:eastAsia="en-US"/>
                                    </w:rPr>
                                    <w:t xml:space="preserve"> командирования отдельных должностных лиц</w:t>
                                  </w:r>
                                  <w:r>
                                    <w:rPr>
                                      <w:sz w:val="28"/>
                                      <w:szCs w:val="28"/>
                                      <w:lang w:eastAsia="en-US"/>
                                    </w:rPr>
                                    <w:t>»</w:t>
                                  </w:r>
                                </w:p>
                              </w:tc>
                            </w:tr>
                          </w:tbl>
                          <w:p/>
                        </w:txbxContent>
                      </wps:txbx>
                      <wps:bodyPr lIns="0" tIns="0" rIns="0" bIns="0" upright="1"/>
                    </wps:wsp>
                  </a:graphicData>
                </a:graphic>
              </wp:anchor>
            </w:drawing>
          </mc:Choice>
          <mc:Fallback>
            <w:pict>
              <v:rect id="Прямоугольник 2" o:spid="_x0000_s1026" o:spt="1" style="position:absolute;left:0pt;margin-left:-5.65pt;margin-top:3.85pt;height:47pt;width:331.45p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fQBt2QAAAAkBAAAPAAAAAAAAAAEAIAAAACIAAABkcnMvZG93bnJldi54bWxQSwEC&#10;FAAUAAAACACHTuJAIXN4KCwCAABhBAAADgAAAAAAAAABACAAAAAoAQAAZHJzL2Uyb0RvYy54bWxQ&#10;SwUGAAAAAAYABgBZAQAAxgUAAAAA&#10;">
                <v:fill on="t" focussize="0,0"/>
                <v:stroke color="#000000" joinstyle="miter"/>
                <v:imagedata o:title=""/>
                <o:lock v:ext="edit" aspectratio="f"/>
                <v:textbox inset="0mm,0mm,0mm,0mm">
                  <w:txbxContent>
                    <w:tbl>
                      <w:tblPr>
                        <w:tblStyle w:val="8"/>
                        <w:tblW w:w="6629" w:type="dxa"/>
                        <w:tblInd w:w="108" w:type="dxa"/>
                        <w:tblLayout w:type="autofit"/>
                        <w:tblCellMar>
                          <w:top w:w="0" w:type="dxa"/>
                          <w:left w:w="108" w:type="dxa"/>
                          <w:bottom w:w="0" w:type="dxa"/>
                          <w:right w:w="108" w:type="dxa"/>
                        </w:tblCellMar>
                      </w:tblPr>
                      <w:tblGrid>
                        <w:gridCol w:w="6629"/>
                      </w:tblGrid>
                      <w:tr>
                        <w:tblPrEx>
                          <w:tblCellMar>
                            <w:top w:w="0" w:type="dxa"/>
                            <w:left w:w="108" w:type="dxa"/>
                            <w:bottom w:w="0" w:type="dxa"/>
                            <w:right w:w="108" w:type="dxa"/>
                          </w:tblCellMar>
                        </w:tblPrEx>
                        <w:trPr>
                          <w:trHeight w:val="2835" w:hRule="atLeast"/>
                        </w:trPr>
                        <w:tc>
                          <w:tcPr>
                            <w:tcW w:w="6629" w:type="dxa"/>
                            <w:shd w:val="clear" w:color="auto" w:fill="auto"/>
                          </w:tcPr>
                          <w:p>
                            <w:pPr>
                              <w:jc w:val="both"/>
                            </w:pPr>
                            <w:r>
                              <w:rPr>
                                <w:sz w:val="28"/>
                                <w:szCs w:val="28"/>
                                <w:lang w:eastAsia="en-US"/>
                              </w:rPr>
                              <w:t xml:space="preserve"> «Об </w:t>
                            </w:r>
                            <w:r>
                              <w:rPr>
                                <w:sz w:val="28"/>
                                <w:szCs w:val="28"/>
                                <w:lang w:val="ru-RU" w:eastAsia="en-US"/>
                              </w:rPr>
                              <w:t>особенностях</w:t>
                            </w:r>
                            <w:r>
                              <w:rPr>
                                <w:rFonts w:hint="default"/>
                                <w:sz w:val="28"/>
                                <w:szCs w:val="28"/>
                                <w:lang w:val="ru-RU" w:eastAsia="en-US"/>
                              </w:rPr>
                              <w:t xml:space="preserve"> командирования отдельных должностных лиц</w:t>
                            </w:r>
                            <w:r>
                              <w:rPr>
                                <w:sz w:val="28"/>
                                <w:szCs w:val="28"/>
                                <w:lang w:eastAsia="en-US"/>
                              </w:rPr>
                              <w:t>»</w:t>
                            </w:r>
                          </w:p>
                        </w:tc>
                      </w:tr>
                    </w:tbl>
                    <w:p/>
                  </w:txbxContent>
                </v:textbox>
                <w10:wrap type="square"/>
              </v:rect>
            </w:pict>
          </mc:Fallback>
        </mc:AlternateContent>
      </w:r>
    </w:p>
    <w:p>
      <w:pPr>
        <w:rPr>
          <w:sz w:val="28"/>
          <w:szCs w:val="24"/>
        </w:rPr>
      </w:pPr>
    </w:p>
    <w:p>
      <w:pPr>
        <w:spacing w:after="200" w:line="276" w:lineRule="auto"/>
        <w:rPr>
          <w:rFonts w:ascii="Calibri" w:hAnsi="Calibri"/>
          <w:sz w:val="22"/>
          <w:szCs w:val="22"/>
          <w:lang w:eastAsia="en-US"/>
        </w:rPr>
      </w:pPr>
    </w:p>
    <w:p>
      <w:pPr>
        <w:jc w:val="both"/>
        <w:rPr>
          <w:sz w:val="28"/>
          <w:szCs w:val="28"/>
        </w:rPr>
      </w:pPr>
    </w:p>
    <w:p>
      <w:pPr>
        <w:jc w:val="both"/>
        <w:rPr>
          <w:sz w:val="28"/>
          <w:szCs w:val="28"/>
        </w:rPr>
      </w:pPr>
    </w:p>
    <w:p>
      <w:pPr>
        <w:jc w:val="left"/>
        <w:rPr>
          <w:rFonts w:hint="default"/>
          <w:sz w:val="28"/>
          <w:szCs w:val="28"/>
          <w:lang w:val="ru-RU"/>
        </w:rPr>
      </w:pPr>
      <w:r>
        <w:rPr>
          <w:sz w:val="28"/>
          <w:szCs w:val="28"/>
          <w:lang w:val="ru-RU"/>
        </w:rPr>
        <w:t>В</w:t>
      </w:r>
      <w:r>
        <w:rPr>
          <w:rFonts w:hint="default"/>
          <w:sz w:val="28"/>
          <w:szCs w:val="28"/>
          <w:lang w:val="ru-RU"/>
        </w:rPr>
        <w:t xml:space="preserve"> целях организационного обеспечения мероприятий об особенностях командирования отдельных должностных лиц в соответствии с Постановлением Правительства РФ №877 от 14 мая 2022 года, Администрация Грузиновского сельского поселения  </w:t>
      </w:r>
    </w:p>
    <w:p>
      <w:pPr>
        <w:jc w:val="left"/>
        <w:rPr>
          <w:rFonts w:hint="default"/>
          <w:sz w:val="28"/>
          <w:szCs w:val="28"/>
          <w:lang w:val="ru-RU"/>
        </w:rPr>
      </w:pPr>
    </w:p>
    <w:p>
      <w:pPr>
        <w:jc w:val="center"/>
        <w:rPr>
          <w:sz w:val="28"/>
          <w:szCs w:val="24"/>
        </w:rPr>
      </w:pPr>
      <w:r>
        <w:rPr>
          <w:sz w:val="28"/>
          <w:szCs w:val="24"/>
        </w:rPr>
        <w:t>ПОСТАНОВЛЯ</w:t>
      </w:r>
      <w:r>
        <w:rPr>
          <w:sz w:val="28"/>
          <w:szCs w:val="24"/>
          <w:lang w:val="ru-RU"/>
        </w:rPr>
        <w:t>ЕТ</w:t>
      </w:r>
      <w:r>
        <w:rPr>
          <w:sz w:val="28"/>
          <w:szCs w:val="24"/>
        </w:rPr>
        <w:t>:</w:t>
      </w:r>
    </w:p>
    <w:p>
      <w:pPr>
        <w:numPr>
          <w:ilvl w:val="0"/>
          <w:numId w:val="1"/>
        </w:numPr>
        <w:jc w:val="both"/>
        <w:rPr>
          <w:rFonts w:hint="default"/>
          <w:sz w:val="28"/>
          <w:szCs w:val="24"/>
          <w:lang w:val="ru-RU"/>
        </w:rPr>
      </w:pPr>
      <w:r>
        <w:rPr>
          <w:rFonts w:hint="default"/>
          <w:sz w:val="28"/>
          <w:szCs w:val="24"/>
          <w:lang w:val="ru-RU"/>
        </w:rPr>
        <w:t>Установить, что:</w:t>
      </w:r>
    </w:p>
    <w:p>
      <w:pPr>
        <w:numPr>
          <w:ilvl w:val="1"/>
          <w:numId w:val="1"/>
        </w:numPr>
        <w:jc w:val="both"/>
        <w:rPr>
          <w:rFonts w:hint="default"/>
          <w:sz w:val="28"/>
          <w:szCs w:val="24"/>
          <w:lang w:val="ru-RU"/>
        </w:rPr>
      </w:pPr>
      <w:r>
        <w:rPr>
          <w:rFonts w:hint="default"/>
          <w:sz w:val="28"/>
          <w:szCs w:val="24"/>
          <w:lang w:val="ru-RU"/>
        </w:rPr>
        <w:t>Муниципальным служащим Администрации Грузиновского сельского поселения и лицам, замещающим должности, не отнесённые к должностям муниципальной службы Грузиновского сельского поселения, в период их пребывания в служебных командировках на территориях Донецкой Народной Республики, Луганской народной Республики (далее соответственно - командированные лица, служебные командировки), денежное содержание ( заработная плата) выплачивается в двойном размере;</w:t>
      </w:r>
    </w:p>
    <w:p>
      <w:pPr>
        <w:numPr>
          <w:ilvl w:val="1"/>
          <w:numId w:val="1"/>
        </w:numPr>
        <w:jc w:val="both"/>
        <w:rPr>
          <w:rFonts w:hint="default"/>
          <w:sz w:val="28"/>
          <w:szCs w:val="24"/>
          <w:lang w:val="ru-RU"/>
        </w:rPr>
      </w:pPr>
      <w:r>
        <w:rPr>
          <w:rFonts w:hint="default"/>
          <w:sz w:val="28"/>
          <w:szCs w:val="24"/>
          <w:lang w:val="ru-RU"/>
        </w:rPr>
        <w:t xml:space="preserve"> При направлении командированных лиц в служебные командировки выплаты,предусмотренные нормативными правовыми актами Российской Федерации, ростовской области, и Грузиновского сельского поселения, устанавливаются и осуществляются в рублях.</w:t>
      </w:r>
    </w:p>
    <w:p>
      <w:pPr>
        <w:numPr>
          <w:ilvl w:val="0"/>
          <w:numId w:val="1"/>
        </w:numPr>
        <w:ind w:left="0" w:leftChars="0" w:firstLine="0" w:firstLineChars="0"/>
        <w:jc w:val="both"/>
        <w:rPr>
          <w:rFonts w:hint="default"/>
          <w:sz w:val="28"/>
          <w:szCs w:val="24"/>
          <w:lang w:val="ru-RU"/>
        </w:rPr>
      </w:pPr>
      <w:r>
        <w:rPr>
          <w:rFonts w:hint="default"/>
          <w:sz w:val="28"/>
          <w:szCs w:val="24"/>
          <w:lang w:val="ru-RU"/>
        </w:rPr>
        <w:t>Главному специалисту по ведению бухгалтерского учёта Мухиной С.С.</w:t>
      </w:r>
    </w:p>
    <w:p>
      <w:pPr>
        <w:numPr>
          <w:ilvl w:val="0"/>
          <w:numId w:val="0"/>
        </w:numPr>
        <w:ind w:leftChars="0"/>
        <w:jc w:val="both"/>
        <w:rPr>
          <w:rFonts w:hint="default"/>
          <w:sz w:val="28"/>
          <w:szCs w:val="24"/>
          <w:lang w:val="ru-RU"/>
        </w:rPr>
      </w:pPr>
      <w:r>
        <w:rPr>
          <w:rFonts w:hint="default"/>
          <w:sz w:val="28"/>
          <w:szCs w:val="24"/>
          <w:lang w:val="ru-RU"/>
        </w:rPr>
        <w:t xml:space="preserve">2.1. Предусмотреть возмещение командированным лицам при направлении в служебные командировки дополнительных расходов, связанных с проживанием вне постоянного места жительства (суточные), в размере 8480 рублей. </w:t>
      </w:r>
    </w:p>
    <w:p>
      <w:pPr>
        <w:numPr>
          <w:ilvl w:val="0"/>
          <w:numId w:val="0"/>
        </w:numPr>
        <w:ind w:leftChars="0"/>
        <w:jc w:val="both"/>
        <w:rPr>
          <w:rFonts w:hint="default"/>
          <w:sz w:val="28"/>
          <w:szCs w:val="24"/>
          <w:lang w:val="ru-RU"/>
        </w:rPr>
      </w:pPr>
      <w:r>
        <w:rPr>
          <w:rFonts w:hint="default"/>
          <w:sz w:val="28"/>
          <w:szCs w:val="24"/>
          <w:lang w:val="ru-RU"/>
        </w:rPr>
        <w:t>2.2.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рублях выплачиваются в размере 50 процентов суточных, установленных настоящим постановлением.</w:t>
      </w:r>
    </w:p>
    <w:p>
      <w:pPr>
        <w:numPr>
          <w:ilvl w:val="0"/>
          <w:numId w:val="0"/>
        </w:numPr>
        <w:ind w:leftChars="0"/>
        <w:jc w:val="both"/>
        <w:rPr>
          <w:rFonts w:hint="default"/>
          <w:sz w:val="28"/>
          <w:szCs w:val="24"/>
          <w:lang w:val="ru-RU"/>
        </w:rPr>
      </w:pPr>
      <w:r>
        <w:rPr>
          <w:rFonts w:hint="default"/>
          <w:sz w:val="28"/>
          <w:szCs w:val="24"/>
          <w:lang w:val="ru-RU"/>
        </w:rPr>
        <w:t>2.3. в случае если работник, направляемый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страны, направляющая сторона выплату суточных в иностранной валюте или рублях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рублях в размере 30 процентов суточных (включая надбавки), установленных настоящим постановлением.</w:t>
      </w:r>
    </w:p>
    <w:p>
      <w:pPr>
        <w:numPr>
          <w:ilvl w:val="0"/>
          <w:numId w:val="0"/>
        </w:numPr>
        <w:ind w:leftChars="0"/>
        <w:jc w:val="both"/>
        <w:rPr>
          <w:rFonts w:hint="default"/>
          <w:sz w:val="28"/>
          <w:szCs w:val="24"/>
          <w:lang w:val="ru-RU"/>
        </w:rPr>
      </w:pPr>
      <w:r>
        <w:rPr>
          <w:rFonts w:hint="default"/>
          <w:sz w:val="28"/>
          <w:szCs w:val="24"/>
          <w:lang w:val="ru-RU"/>
        </w:rPr>
        <w:t>3. обеспечить установление для работников организаций и учреждений, подведомственных муниципальным органам Грузиновского сельского поселения, принимающих непосредственное участие в в выполнении работ (оказании услуг0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условий командирования, аналогичных условиям, предусмотренным настоящим постановлением.</w:t>
      </w:r>
    </w:p>
    <w:p>
      <w:pPr>
        <w:numPr>
          <w:ilvl w:val="0"/>
          <w:numId w:val="0"/>
        </w:numPr>
        <w:ind w:leftChars="0"/>
        <w:jc w:val="both"/>
        <w:rPr>
          <w:sz w:val="28"/>
          <w:szCs w:val="28"/>
        </w:rPr>
      </w:pPr>
      <w:r>
        <w:rPr>
          <w:rFonts w:hint="default"/>
          <w:sz w:val="28"/>
          <w:szCs w:val="24"/>
          <w:lang w:val="ru-RU"/>
        </w:rPr>
        <w:t xml:space="preserve">4. </w:t>
      </w:r>
      <w:r>
        <w:rPr>
          <w:sz w:val="28"/>
          <w:szCs w:val="28"/>
        </w:rPr>
        <w:t xml:space="preserve"> Контроль  за исполнением данного постановления оставляю за собой.</w:t>
      </w: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r>
        <w:rPr>
          <w:sz w:val="28"/>
          <w:szCs w:val="24"/>
        </w:rPr>
        <w:t xml:space="preserve">Глава Администрации </w:t>
      </w:r>
    </w:p>
    <w:p>
      <w:pPr>
        <w:rPr>
          <w:sz w:val="28"/>
          <w:szCs w:val="24"/>
        </w:rPr>
      </w:pPr>
      <w:r>
        <w:rPr>
          <w:sz w:val="28"/>
          <w:szCs w:val="24"/>
        </w:rPr>
        <w:t>Грузиновского сельского поселения                                А.И. Скориков</w:t>
      </w:r>
    </w:p>
    <w:sectPr>
      <w:pgSz w:w="11906" w:h="16838"/>
      <w:pgMar w:top="1134" w:right="850" w:bottom="1134" w:left="1701" w:header="0" w:footer="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ACDB3"/>
    <w:multiLevelType w:val="multilevel"/>
    <w:tmpl w:val="B95ACDB3"/>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4D"/>
    <w:rsid w:val="000C1F77"/>
    <w:rsid w:val="0045054D"/>
    <w:rsid w:val="004E63B4"/>
    <w:rsid w:val="00C362C0"/>
    <w:rsid w:val="27D735DA"/>
    <w:rsid w:val="3F6F0A9C"/>
    <w:rsid w:val="44FF77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3"/>
    <w:next w:val="1"/>
    <w:qFormat/>
    <w:uiPriority w:val="0"/>
    <w:pPr>
      <w:outlineLvl w:val="0"/>
    </w:pPr>
  </w:style>
  <w:style w:type="paragraph" w:styleId="5">
    <w:name w:val="heading 2"/>
    <w:basedOn w:val="3"/>
    <w:next w:val="1"/>
    <w:qFormat/>
    <w:uiPriority w:val="0"/>
    <w:pPr>
      <w:outlineLvl w:val="1"/>
    </w:pPr>
  </w:style>
  <w:style w:type="paragraph" w:styleId="6">
    <w:name w:val="heading 3"/>
    <w:basedOn w:val="3"/>
    <w:next w:val="1"/>
    <w:qFormat/>
    <w:uiPriority w:val="0"/>
    <w:pPr>
      <w:outlineLvl w:val="2"/>
    </w:p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
    <w:basedOn w:val="1"/>
    <w:next w:val="4"/>
    <w:qFormat/>
    <w:uiPriority w:val="0"/>
    <w:pPr>
      <w:keepNext/>
      <w:spacing w:before="240" w:after="120"/>
    </w:pPr>
    <w:rPr>
      <w:rFonts w:ascii="Liberation Sans" w:hAnsi="Liberation Sans" w:eastAsia="Microsoft YaHei" w:cs="Mangal"/>
      <w:sz w:val="28"/>
      <w:szCs w:val="28"/>
    </w:rPr>
  </w:style>
  <w:style w:type="paragraph" w:styleId="4">
    <w:name w:val="Body Text"/>
    <w:basedOn w:val="1"/>
    <w:qFormat/>
    <w:uiPriority w:val="0"/>
    <w:pPr>
      <w:spacing w:after="140" w:line="288" w:lineRule="auto"/>
    </w:pPr>
  </w:style>
  <w:style w:type="character" w:styleId="9">
    <w:name w:val="Emphasis"/>
    <w:qFormat/>
    <w:uiPriority w:val="99"/>
    <w:rPr>
      <w:rFonts w:cs="Times New Roman"/>
      <w:i/>
      <w:iCs/>
    </w:rPr>
  </w:style>
  <w:style w:type="paragraph" w:styleId="10">
    <w:name w:val="Balloon Text"/>
    <w:basedOn w:val="1"/>
    <w:semiHidden/>
    <w:unhideWhenUsed/>
    <w:qFormat/>
    <w:uiPriority w:val="99"/>
    <w:rPr>
      <w:rFonts w:ascii="Tahoma" w:hAnsi="Tahoma" w:cs="Tahoma"/>
      <w:sz w:val="16"/>
      <w:szCs w:val="16"/>
    </w:rPr>
  </w:style>
  <w:style w:type="paragraph" w:styleId="11">
    <w:name w:val="index 1"/>
    <w:basedOn w:val="1"/>
    <w:next w:val="1"/>
    <w:semiHidden/>
    <w:unhideWhenUsed/>
    <w:uiPriority w:val="99"/>
  </w:style>
  <w:style w:type="paragraph" w:styleId="12">
    <w:name w:val="header"/>
    <w:basedOn w:val="1"/>
    <w:qFormat/>
    <w:uiPriority w:val="99"/>
    <w:pPr>
      <w:tabs>
        <w:tab w:val="center" w:pos="4677"/>
        <w:tab w:val="right" w:pos="9355"/>
      </w:tabs>
    </w:pPr>
  </w:style>
  <w:style w:type="paragraph" w:styleId="13">
    <w:name w:val="index heading"/>
    <w:basedOn w:val="1"/>
    <w:next w:val="11"/>
    <w:qFormat/>
    <w:uiPriority w:val="0"/>
    <w:pPr>
      <w:suppressLineNumbers/>
    </w:pPr>
    <w:rPr>
      <w:rFonts w:cs="Mangal"/>
    </w:rPr>
  </w:style>
  <w:style w:type="paragraph" w:styleId="14">
    <w:name w:val="Title"/>
    <w:basedOn w:val="1"/>
    <w:uiPriority w:val="0"/>
    <w:pPr>
      <w:suppressLineNumbers/>
      <w:spacing w:before="120" w:after="120"/>
    </w:pPr>
    <w:rPr>
      <w:rFonts w:cs="Mangal"/>
      <w:i/>
      <w:iCs/>
      <w:sz w:val="24"/>
      <w:szCs w:val="24"/>
    </w:rPr>
  </w:style>
  <w:style w:type="paragraph" w:styleId="15">
    <w:name w:val="footer"/>
    <w:basedOn w:val="1"/>
    <w:qFormat/>
    <w:uiPriority w:val="99"/>
    <w:pPr>
      <w:tabs>
        <w:tab w:val="center" w:pos="4677"/>
        <w:tab w:val="right" w:pos="9355"/>
      </w:tabs>
    </w:pPr>
  </w:style>
  <w:style w:type="paragraph" w:styleId="16">
    <w:name w:val="List"/>
    <w:basedOn w:val="4"/>
    <w:qFormat/>
    <w:uiPriority w:val="0"/>
    <w:rPr>
      <w:rFonts w:cs="Mangal"/>
    </w:rPr>
  </w:style>
  <w:style w:type="paragraph" w:styleId="17">
    <w:name w:val="Subtitle"/>
    <w:basedOn w:val="3"/>
    <w:uiPriority w:val="0"/>
  </w:style>
  <w:style w:type="table" w:styleId="18">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9">
    <w:name w:val="Верхний колонтитул Знак"/>
    <w:qFormat/>
    <w:locked/>
    <w:uiPriority w:val="99"/>
    <w:rPr>
      <w:rFonts w:ascii="Times New Roman" w:hAnsi="Times New Roman" w:cs="Times New Roman"/>
      <w:sz w:val="20"/>
      <w:szCs w:val="20"/>
      <w:lang w:eastAsia="ru-RU"/>
    </w:rPr>
  </w:style>
  <w:style w:type="character" w:customStyle="1" w:styleId="20">
    <w:name w:val="Нижний колонтитул Знак"/>
    <w:qFormat/>
    <w:locked/>
    <w:uiPriority w:val="99"/>
    <w:rPr>
      <w:rFonts w:ascii="Times New Roman" w:hAnsi="Times New Roman" w:cs="Times New Roman"/>
      <w:sz w:val="20"/>
      <w:szCs w:val="20"/>
      <w:lang w:eastAsia="ru-RU"/>
    </w:rPr>
  </w:style>
  <w:style w:type="character" w:customStyle="1" w:styleId="21">
    <w:name w:val="Текст выноски Знак"/>
    <w:basedOn w:val="7"/>
    <w:semiHidden/>
    <w:qFormat/>
    <w:uiPriority w:val="99"/>
    <w:rPr>
      <w:rFonts w:ascii="Tahoma" w:hAnsi="Tahoma" w:eastAsia="Times New Roman" w:cs="Tahoma"/>
      <w:sz w:val="16"/>
      <w:szCs w:val="16"/>
    </w:rPr>
  </w:style>
  <w:style w:type="character" w:customStyle="1" w:styleId="22">
    <w:name w:val="ListLabel 1"/>
    <w:qFormat/>
    <w:uiPriority w:val="0"/>
    <w:rPr>
      <w:rFonts w:cs="Times New Roman"/>
    </w:rPr>
  </w:style>
  <w:style w:type="paragraph" w:customStyle="1" w:styleId="23">
    <w:name w:val="ConsPlusNormal"/>
    <w:qFormat/>
    <w:uiPriority w:val="99"/>
    <w:pPr>
      <w:widowControl w:val="0"/>
      <w:ind w:firstLine="720"/>
    </w:pPr>
    <w:rPr>
      <w:rFonts w:ascii="Arial" w:hAnsi="Arial" w:eastAsia="Times New Roman" w:cs="Arial"/>
      <w:lang w:val="ru-RU" w:eastAsia="ru-RU" w:bidi="ar-SA"/>
    </w:rPr>
  </w:style>
  <w:style w:type="paragraph" w:styleId="24">
    <w:name w:val="List Paragraph"/>
    <w:basedOn w:val="1"/>
    <w:qFormat/>
    <w:uiPriority w:val="99"/>
    <w:pPr>
      <w:ind w:left="720"/>
      <w:contextualSpacing/>
    </w:pPr>
  </w:style>
  <w:style w:type="paragraph" w:customStyle="1" w:styleId="25">
    <w:name w:val="Содержимое врезки"/>
    <w:basedOn w:val="1"/>
    <w:qFormat/>
    <w:uiPriority w:val="0"/>
  </w:style>
  <w:style w:type="paragraph" w:customStyle="1" w:styleId="26">
    <w:name w:val="Блочная цитата"/>
    <w:basedOn w:val="1"/>
    <w:qFormat/>
    <w:uiPriority w:val="0"/>
  </w:style>
  <w:style w:type="paragraph" w:customStyle="1" w:styleId="27">
    <w:name w:val="Заглавие"/>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189</Words>
  <Characters>1083</Characters>
  <Lines>9</Lines>
  <Paragraphs>2</Paragraphs>
  <TotalTime>92</TotalTime>
  <ScaleCrop>false</ScaleCrop>
  <LinksUpToDate>false</LinksUpToDate>
  <CharactersWithSpaces>1270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2013-09-12T11:07:00Z</dcterms:created>
  <dc:creator>SYSTEMA</dc:creator>
  <cp:lastModifiedBy>Пользователь</cp:lastModifiedBy>
  <cp:lastPrinted>2022-02-28T07:53:00Z</cp:lastPrinted>
  <dcterms:modified xsi:type="dcterms:W3CDTF">2022-11-16T07:59:14Z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1049-11.2.0.11380</vt:lpwstr>
  </property>
  <property fmtid="{D5CDD505-2E9C-101B-9397-08002B2CF9AE}" pid="10" name="ICV">
    <vt:lpwstr>940EB98ADDDE442EB16A478BDE352929</vt:lpwstr>
  </property>
</Properties>
</file>