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2"/>
        <w:gridCol w:w="160"/>
        <w:gridCol w:w="2126"/>
      </w:tblGrid>
      <w:tr w:rsidR="006C5FC0" w:rsidTr="000B55D1">
        <w:trPr>
          <w:trHeight w:val="2225"/>
        </w:trPr>
        <w:tc>
          <w:tcPr>
            <w:tcW w:w="1204" w:type="dxa"/>
          </w:tcPr>
          <w:p w:rsidR="006C5FC0" w:rsidRDefault="006C5FC0" w:rsidP="008D532C"/>
        </w:tc>
        <w:tc>
          <w:tcPr>
            <w:tcW w:w="6662" w:type="dxa"/>
          </w:tcPr>
          <w:p w:rsidR="006C5FC0" w:rsidRDefault="006C5FC0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6C5FC0" w:rsidRDefault="006C5FC0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Грузиновского сельского поселения</w:t>
            </w:r>
          </w:p>
          <w:p w:rsidR="006C5FC0" w:rsidRDefault="006C5FC0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6C5FC0" w:rsidRPr="006318CC" w:rsidRDefault="006C5FC0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6C5FC0" w:rsidRDefault="006C5FC0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6C5FC0" w:rsidRDefault="006C5FC0" w:rsidP="008D532C">
            <w:pPr>
              <w:jc w:val="center"/>
              <w:rPr>
                <w:b/>
                <w:sz w:val="40"/>
              </w:rPr>
            </w:pPr>
          </w:p>
          <w:p w:rsidR="006C5FC0" w:rsidRPr="006318CC" w:rsidRDefault="006C5FC0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6C5FC0" w:rsidRDefault="006C5FC0" w:rsidP="008D532C"/>
        </w:tc>
        <w:tc>
          <w:tcPr>
            <w:tcW w:w="2126" w:type="dxa"/>
          </w:tcPr>
          <w:p w:rsidR="006C5FC0" w:rsidRDefault="006C5FC0" w:rsidP="008D532C">
            <w:pPr>
              <w:rPr>
                <w:sz w:val="28"/>
              </w:rPr>
            </w:pPr>
          </w:p>
        </w:tc>
      </w:tr>
      <w:tr w:rsidR="006C5FC0" w:rsidRPr="00B83B50" w:rsidTr="000B55D1">
        <w:tc>
          <w:tcPr>
            <w:tcW w:w="7866" w:type="dxa"/>
            <w:gridSpan w:val="2"/>
          </w:tcPr>
          <w:p w:rsidR="006C5FC0" w:rsidRPr="005A1C9A" w:rsidRDefault="006C5FC0" w:rsidP="001F5EDD">
            <w:pPr>
              <w:ind w:firstLine="709"/>
              <w:rPr>
                <w:sz w:val="28"/>
              </w:rPr>
            </w:pPr>
            <w:r w:rsidRPr="005A1C9A">
              <w:rPr>
                <w:sz w:val="28"/>
              </w:rPr>
              <w:t>ноября 2019 года</w:t>
            </w:r>
          </w:p>
        </w:tc>
        <w:tc>
          <w:tcPr>
            <w:tcW w:w="2286" w:type="dxa"/>
            <w:gridSpan w:val="2"/>
          </w:tcPr>
          <w:p w:rsidR="006C5FC0" w:rsidRPr="005A1C9A" w:rsidRDefault="006C5FC0" w:rsidP="001D3361">
            <w:pPr>
              <w:ind w:firstLine="709"/>
              <w:rPr>
                <w:sz w:val="28"/>
              </w:rPr>
            </w:pPr>
            <w:r w:rsidRPr="005A1C9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</w:p>
          <w:p w:rsidR="006C5FC0" w:rsidRPr="00B83B50" w:rsidRDefault="006C5FC0" w:rsidP="001D3361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6C5FC0" w:rsidRPr="006318CC" w:rsidRDefault="006C5FC0" w:rsidP="001F5EDD">
      <w:pPr>
        <w:ind w:firstLine="709"/>
        <w:rPr>
          <w:sz w:val="28"/>
          <w:szCs w:val="28"/>
        </w:rPr>
      </w:pPr>
    </w:p>
    <w:tbl>
      <w:tblPr>
        <w:tblW w:w="10315" w:type="dxa"/>
        <w:tblLayout w:type="fixed"/>
        <w:tblLook w:val="0000"/>
      </w:tblPr>
      <w:tblGrid>
        <w:gridCol w:w="5637"/>
        <w:gridCol w:w="4678"/>
      </w:tblGrid>
      <w:tr w:rsidR="006C5FC0" w:rsidRPr="00531E61" w:rsidTr="001F5EDD">
        <w:trPr>
          <w:trHeight w:val="1238"/>
        </w:trPr>
        <w:tc>
          <w:tcPr>
            <w:tcW w:w="5637" w:type="dxa"/>
          </w:tcPr>
          <w:p w:rsidR="006C5FC0" w:rsidRPr="007F782F" w:rsidRDefault="006C5FC0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 xml:space="preserve">Порядка формирования </w:t>
            </w:r>
          </w:p>
          <w:p w:rsidR="006C5FC0" w:rsidRDefault="006C5FC0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>
              <w:rPr>
                <w:sz w:val="28"/>
                <w:szCs w:val="28"/>
              </w:rPr>
              <w:t xml:space="preserve">Грузиновского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6C5FC0" w:rsidRPr="00531E61" w:rsidRDefault="006C5FC0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5FC0" w:rsidRPr="00531E61" w:rsidRDefault="006C5FC0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C5FC0" w:rsidRDefault="006C5FC0" w:rsidP="001F5EDD">
      <w:pPr>
        <w:ind w:firstLine="709"/>
      </w:pPr>
    </w:p>
    <w:p w:rsidR="006C5FC0" w:rsidRPr="00BE19B7" w:rsidRDefault="006C5FC0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6C5FC0" w:rsidRPr="00BE19B7" w:rsidRDefault="006C5FC0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6C5FC0" w:rsidRDefault="006C5FC0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C5FC0" w:rsidRDefault="006C5FC0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6C5FC0" w:rsidRPr="00531E61" w:rsidRDefault="006C5FC0" w:rsidP="00112649">
      <w:pPr>
        <w:ind w:firstLine="709"/>
        <w:rPr>
          <w:sz w:val="28"/>
          <w:szCs w:val="28"/>
        </w:rPr>
      </w:pPr>
    </w:p>
    <w:p w:rsidR="006C5FC0" w:rsidRPr="00385F7E" w:rsidRDefault="006C5FC0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6C5FC0" w:rsidRPr="00A863E4" w:rsidRDefault="006C5FC0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 xml:space="preserve">ского сельского поселения до 1 апреля 2020 года, а также ежегодное,  до 1 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 xml:space="preserve">ского сельского поселения по новым налоговым расходам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>ского сельского поселения.</w:t>
      </w:r>
    </w:p>
    <w:p w:rsidR="006C5FC0" w:rsidRPr="0093035B" w:rsidRDefault="006C5FC0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Грузиновского сельского поселения от 31.10.2012 года № 60 «О порядке оценки эффективности налоговых льгот, установленных нормативно-правовыми актами Грузиновского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6C5FC0" w:rsidRDefault="006C5FC0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Грузиновского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6C5FC0" w:rsidRPr="00EE63F5" w:rsidRDefault="006C5FC0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6C5FC0" w:rsidRPr="00385F7E" w:rsidRDefault="006C5FC0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6C5FC0" w:rsidRPr="00775533" w:rsidTr="008C0DAD">
        <w:trPr>
          <w:trHeight w:val="543"/>
        </w:trPr>
        <w:tc>
          <w:tcPr>
            <w:tcW w:w="7196" w:type="dxa"/>
          </w:tcPr>
          <w:p w:rsidR="006C5FC0" w:rsidRDefault="006C5FC0" w:rsidP="001F5EDD">
            <w:pPr>
              <w:ind w:firstLine="709"/>
              <w:rPr>
                <w:sz w:val="28"/>
                <w:szCs w:val="28"/>
              </w:rPr>
            </w:pPr>
          </w:p>
          <w:p w:rsidR="006C5FC0" w:rsidRPr="00775533" w:rsidRDefault="006C5FC0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6C5FC0" w:rsidRPr="006F6C2A" w:rsidRDefault="006C5FC0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  <w:tc>
          <w:tcPr>
            <w:tcW w:w="2835" w:type="dxa"/>
          </w:tcPr>
          <w:p w:rsidR="006C5FC0" w:rsidRPr="00775533" w:rsidRDefault="006C5FC0" w:rsidP="001F5EDD">
            <w:pPr>
              <w:ind w:firstLine="709"/>
              <w:rPr>
                <w:sz w:val="28"/>
                <w:szCs w:val="28"/>
              </w:rPr>
            </w:pPr>
          </w:p>
          <w:p w:rsidR="006C5FC0" w:rsidRDefault="006C5FC0" w:rsidP="0029301F">
            <w:pPr>
              <w:rPr>
                <w:sz w:val="28"/>
                <w:szCs w:val="28"/>
              </w:rPr>
            </w:pPr>
          </w:p>
          <w:p w:rsidR="006C5FC0" w:rsidRPr="000B55D1" w:rsidRDefault="006C5FC0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6C5FC0" w:rsidRDefault="006C5FC0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5FC0" w:rsidRPr="006318CC" w:rsidRDefault="006C5FC0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6C5FC0" w:rsidRDefault="006C5FC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6C5FC0" w:rsidRDefault="006C5FC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Грузиновского </w:t>
      </w:r>
    </w:p>
    <w:p w:rsidR="006C5FC0" w:rsidRPr="006318CC" w:rsidRDefault="006C5FC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5FC0" w:rsidRPr="006318CC" w:rsidRDefault="006C5FC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6C5FC0" w:rsidRPr="00B007D3" w:rsidRDefault="006C5FC0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6C5FC0" w:rsidRPr="00B007D3" w:rsidRDefault="006C5FC0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Грузиновского сельского поселения, отраслевой орган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Грузиновского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  (далее - сектор экономики и финансов):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6C5FC0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Грузиновского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Грузиновского сельского поселения или отраслевых органов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Грузиновского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Грузиновского сельского поселения или отраслевых органов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6C5FC0" w:rsidRPr="00945DB7" w:rsidRDefault="006C5FC0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6C5FC0" w:rsidRDefault="006C5FC0" w:rsidP="005C0656">
      <w:pPr>
        <w:spacing w:line="302" w:lineRule="atLeast"/>
        <w:jc w:val="both"/>
        <w:rPr>
          <w:color w:val="000000"/>
          <w:sz w:val="28"/>
          <w:szCs w:val="28"/>
        </w:rPr>
      </w:pP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Грузиновского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6C5FC0" w:rsidRPr="00945DB7" w:rsidRDefault="006C5FC0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490"/>
        <w:gridCol w:w="973"/>
        <w:gridCol w:w="974"/>
        <w:gridCol w:w="1181"/>
        <w:gridCol w:w="1009"/>
        <w:gridCol w:w="974"/>
        <w:gridCol w:w="1276"/>
        <w:gridCol w:w="1276"/>
        <w:gridCol w:w="1276"/>
        <w:gridCol w:w="960"/>
      </w:tblGrid>
      <w:tr w:rsidR="006C5FC0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6C5FC0" w:rsidRPr="009444CB" w:rsidRDefault="006C5FC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Грузиновского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6C5FC0" w:rsidRPr="009444CB" w:rsidRDefault="006C5FC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6C5FC0" w:rsidRPr="009444CB" w:rsidRDefault="006C5FC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44CB" w:rsidRDefault="006C5FC0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6C5FC0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6C5FC0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6C5FC0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6C5FC0" w:rsidRPr="00945DB7" w:rsidRDefault="006C5FC0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6C5FC0" w:rsidRPr="00945DB7" w:rsidRDefault="006C5FC0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6C5FC0" w:rsidRDefault="006C5FC0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6C5FC0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6C5FC0" w:rsidRPr="00945DB7" w:rsidRDefault="006C5FC0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/>
      </w:tblPr>
      <w:tblGrid>
        <w:gridCol w:w="821"/>
        <w:gridCol w:w="6300"/>
        <w:gridCol w:w="3240"/>
      </w:tblGrid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6C5FC0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6C5FC0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6C5FC0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6C5FC0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6C5FC0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6C542E" w:rsidRDefault="006C5FC0" w:rsidP="006C542E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Грузиновского сельского поселения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6C5FC0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6C5FC0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C0" w:rsidRPr="00945DB7" w:rsidRDefault="006C5FC0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6C5FC0" w:rsidRPr="00980CF5" w:rsidRDefault="006C5FC0" w:rsidP="005C0656">
      <w:pPr>
        <w:autoSpaceDE w:val="0"/>
        <w:autoSpaceDN w:val="0"/>
        <w:adjustRightInd w:val="0"/>
        <w:jc w:val="center"/>
      </w:pPr>
    </w:p>
    <w:sectPr w:rsidR="006C5FC0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C0" w:rsidRDefault="006C5FC0" w:rsidP="007826C8">
      <w:r>
        <w:separator/>
      </w:r>
    </w:p>
  </w:endnote>
  <w:endnote w:type="continuationSeparator" w:id="0">
    <w:p w:rsidR="006C5FC0" w:rsidRDefault="006C5FC0" w:rsidP="0078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C0" w:rsidRPr="007826C8" w:rsidRDefault="006C5FC0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6C5FC0" w:rsidRDefault="006C5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C0" w:rsidRPr="007826C8" w:rsidRDefault="006C5FC0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6C5FC0" w:rsidRDefault="006C5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C0" w:rsidRDefault="006C5FC0" w:rsidP="007826C8">
      <w:r>
        <w:separator/>
      </w:r>
    </w:p>
  </w:footnote>
  <w:footnote w:type="continuationSeparator" w:id="0">
    <w:p w:rsidR="006C5FC0" w:rsidRDefault="006C5FC0" w:rsidP="0078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C"/>
    <w:rsid w:val="000055D6"/>
    <w:rsid w:val="00026832"/>
    <w:rsid w:val="000275E2"/>
    <w:rsid w:val="0003549B"/>
    <w:rsid w:val="0006438E"/>
    <w:rsid w:val="00086DF2"/>
    <w:rsid w:val="00096096"/>
    <w:rsid w:val="000B55D1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5F58"/>
    <w:rsid w:val="00234412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31E61"/>
    <w:rsid w:val="00534030"/>
    <w:rsid w:val="00567CD0"/>
    <w:rsid w:val="005811E7"/>
    <w:rsid w:val="00585923"/>
    <w:rsid w:val="00586FB8"/>
    <w:rsid w:val="005871C3"/>
    <w:rsid w:val="0059046C"/>
    <w:rsid w:val="005A1C9A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B380E"/>
    <w:rsid w:val="006C542E"/>
    <w:rsid w:val="006C5FC0"/>
    <w:rsid w:val="006F5EB2"/>
    <w:rsid w:val="006F6C2A"/>
    <w:rsid w:val="0071703D"/>
    <w:rsid w:val="007245A6"/>
    <w:rsid w:val="00751D8E"/>
    <w:rsid w:val="00763103"/>
    <w:rsid w:val="00775533"/>
    <w:rsid w:val="007826C8"/>
    <w:rsid w:val="007B34AB"/>
    <w:rsid w:val="007E3ED5"/>
    <w:rsid w:val="007E5C04"/>
    <w:rsid w:val="007F782F"/>
    <w:rsid w:val="0080773E"/>
    <w:rsid w:val="00812F8F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1E98"/>
    <w:rsid w:val="00985EA6"/>
    <w:rsid w:val="00987D17"/>
    <w:rsid w:val="009E0C91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D72EB"/>
    <w:rsid w:val="00BE19B7"/>
    <w:rsid w:val="00BF3232"/>
    <w:rsid w:val="00BF6329"/>
    <w:rsid w:val="00C4003F"/>
    <w:rsid w:val="00C436EF"/>
    <w:rsid w:val="00C47126"/>
    <w:rsid w:val="00C6610C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E7629"/>
    <w:rsid w:val="00DF0975"/>
    <w:rsid w:val="00DF4F25"/>
    <w:rsid w:val="00E22196"/>
    <w:rsid w:val="00E32C25"/>
    <w:rsid w:val="00E66775"/>
    <w:rsid w:val="00E917EC"/>
    <w:rsid w:val="00E9273B"/>
    <w:rsid w:val="00E972F9"/>
    <w:rsid w:val="00ED7F56"/>
    <w:rsid w:val="00EE3C95"/>
    <w:rsid w:val="00EE63F5"/>
    <w:rsid w:val="00EE6F3B"/>
    <w:rsid w:val="00EF4D84"/>
    <w:rsid w:val="00F00859"/>
    <w:rsid w:val="00F137B8"/>
    <w:rsid w:val="00FA41E5"/>
    <w:rsid w:val="00FD6D30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137B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D3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859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6C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13</Pages>
  <Words>4420</Words>
  <Characters>25199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skorikova</cp:lastModifiedBy>
  <cp:revision>25</cp:revision>
  <cp:lastPrinted>2019-11-28T11:32:00Z</cp:lastPrinted>
  <dcterms:created xsi:type="dcterms:W3CDTF">2019-11-15T05:44:00Z</dcterms:created>
  <dcterms:modified xsi:type="dcterms:W3CDTF">2020-02-14T07:19:00Z</dcterms:modified>
</cp:coreProperties>
</file>