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C39C6">
        <w:rPr>
          <w:b/>
          <w:sz w:val="28"/>
          <w:szCs w:val="28"/>
        </w:rPr>
        <w:t>ГРУЗИНОВСКОГО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>
      <w:r>
        <w:rPr>
          <w:sz w:val="28"/>
          <w:szCs w:val="28"/>
        </w:rPr>
        <w:t>«</w:t>
      </w:r>
      <w:r w:rsidR="000C39C6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A81E53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                                                                                        № </w:t>
      </w:r>
      <w:r w:rsidR="009A7265">
        <w:rPr>
          <w:sz w:val="28"/>
          <w:szCs w:val="28"/>
        </w:rPr>
        <w:t>1</w:t>
      </w:r>
    </w:p>
    <w:p w:rsidR="005E5144" w:rsidRDefault="00784B1E" w:rsidP="000E2AFA">
      <w:pPr>
        <w:spacing w:line="360" w:lineRule="auto"/>
        <w:jc w:val="right"/>
      </w:pPr>
      <w:r>
        <w:rPr>
          <w:sz w:val="28"/>
          <w:szCs w:val="28"/>
        </w:rPr>
        <w:t xml:space="preserve">х. </w:t>
      </w:r>
      <w:r w:rsidR="000C39C6">
        <w:rPr>
          <w:sz w:val="28"/>
          <w:szCs w:val="28"/>
        </w:rPr>
        <w:t xml:space="preserve"> Грузинов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C39C6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 w:rsidR="000C39C6">
              <w:rPr>
                <w:sz w:val="28"/>
                <w:szCs w:val="28"/>
              </w:rPr>
              <w:t xml:space="preserve">Грузиновском </w:t>
            </w:r>
            <w:r w:rsidR="00A81E53">
              <w:rPr>
                <w:sz w:val="28"/>
                <w:szCs w:val="28"/>
              </w:rPr>
              <w:t xml:space="preserve"> сельском поселении на 2020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</w:t>
      </w:r>
      <w:r w:rsidR="000C39C6">
        <w:rPr>
          <w:sz w:val="28"/>
          <w:szCs w:val="28"/>
        </w:rPr>
        <w:t>Грузиновского</w:t>
      </w:r>
      <w:r w:rsidR="000E2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r w:rsidR="000C39C6">
        <w:rPr>
          <w:sz w:val="28"/>
          <w:szCs w:val="28"/>
        </w:rPr>
        <w:t>Грузиновском</w:t>
      </w:r>
      <w:r w:rsidR="00A81E53">
        <w:rPr>
          <w:sz w:val="28"/>
          <w:szCs w:val="28"/>
        </w:rPr>
        <w:t xml:space="preserve"> сельском поселении на 2020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39C6">
        <w:rPr>
          <w:sz w:val="28"/>
          <w:szCs w:val="28"/>
        </w:rPr>
        <w:t>Грузиновского</w:t>
      </w: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сельского поселения                                      </w:t>
      </w:r>
      <w:r w:rsidR="003750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0C39C6">
        <w:rPr>
          <w:sz w:val="28"/>
          <w:szCs w:val="28"/>
        </w:rPr>
        <w:t>А.И. Скориков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0C39C6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>Грузиновского</w:t>
      </w:r>
      <w:r w:rsidR="003750D4">
        <w:rPr>
          <w:sz w:val="22"/>
          <w:szCs w:val="22"/>
        </w:rPr>
        <w:t xml:space="preserve">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0C39C6">
        <w:rPr>
          <w:sz w:val="22"/>
          <w:szCs w:val="22"/>
        </w:rPr>
        <w:t>16</w:t>
      </w:r>
      <w:r w:rsidR="00A81E53">
        <w:rPr>
          <w:sz w:val="22"/>
          <w:szCs w:val="22"/>
        </w:rPr>
        <w:t>.01.2020</w:t>
      </w:r>
      <w:r w:rsidR="00784B1E">
        <w:rPr>
          <w:sz w:val="22"/>
          <w:szCs w:val="22"/>
        </w:rPr>
        <w:t xml:space="preserve"> г. № </w:t>
      </w:r>
      <w:r w:rsidR="000C39C6">
        <w:rPr>
          <w:sz w:val="22"/>
          <w:szCs w:val="22"/>
        </w:rPr>
        <w:t>1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0C39C6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r w:rsidR="000C39C6">
        <w:rPr>
          <w:sz w:val="28"/>
          <w:szCs w:val="28"/>
        </w:rPr>
        <w:t>А.И. Скориков</w:t>
      </w:r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0C39C6">
        <w:rPr>
          <w:b/>
          <w:sz w:val="28"/>
          <w:szCs w:val="28"/>
        </w:rPr>
        <w:t>Грузиновском</w:t>
      </w:r>
      <w:r>
        <w:rPr>
          <w:b/>
          <w:sz w:val="28"/>
          <w:szCs w:val="28"/>
        </w:rPr>
        <w:t xml:space="preserve"> сельском поселении на 2019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c"/>
        <w:tblW w:w="9571" w:type="dxa"/>
        <w:tblInd w:w="-10" w:type="dxa"/>
        <w:tblCellMar>
          <w:left w:w="98" w:type="dxa"/>
        </w:tblCellMar>
        <w:tblLook w:val="04A0"/>
      </w:tblPr>
      <w:tblGrid>
        <w:gridCol w:w="1340"/>
        <w:gridCol w:w="3389"/>
        <w:gridCol w:w="2180"/>
        <w:gridCol w:w="2662"/>
      </w:tblGrid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№пп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jc w:val="both"/>
            </w:pPr>
            <w:r>
              <w:t xml:space="preserve">Утверждение </w:t>
            </w:r>
            <w:r w:rsidR="00784B1E">
              <w:t>плана</w:t>
            </w:r>
            <w:r>
              <w:t xml:space="preserve"> </w:t>
            </w:r>
            <w:r w:rsidR="00784B1E">
              <w:t>работы  комиссии  по координации работы по  п</w:t>
            </w:r>
            <w:r>
              <w:t>ротиводействию коррупции на 2020</w:t>
            </w:r>
            <w:r w:rsidR="00784B1E">
              <w:t xml:space="preserve"> г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widowControl w:val="0"/>
              <w:jc w:val="center"/>
            </w:pPr>
            <w:r>
              <w:t>январь</w:t>
            </w:r>
            <w:r w:rsidR="00784B1E">
              <w:t xml:space="preserve">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0C39C6" w:rsidP="000C39C6">
            <w:pPr>
              <w:widowControl w:val="0"/>
              <w:jc w:val="center"/>
            </w:pPr>
            <w:r>
              <w:t>А.И.Скориков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антикоррупционной  экспертизы </w:t>
            </w:r>
            <w:r>
              <w:t>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0C39C6">
            <w:pPr>
              <w:widowControl w:val="0"/>
              <w:tabs>
                <w:tab w:val="left" w:pos="2499"/>
              </w:tabs>
              <w:jc w:val="center"/>
            </w:pPr>
            <w:r>
              <w:t>Н.С. Пономарева</w:t>
            </w:r>
          </w:p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>А.Н. Шаповалова</w:t>
            </w:r>
          </w:p>
          <w:p w:rsidR="00A81E53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>Е.Е. Донцова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r w:rsidR="00784B1E">
              <w:t xml:space="preserve">контроля за своевременным </w:t>
            </w:r>
            <w:r w:rsidR="009C7EEB">
              <w:t xml:space="preserve">предоставлением  муниципальными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>
              <w:t>имущественного характера за 2019</w:t>
            </w:r>
            <w:r w:rsidR="00784B1E">
              <w:t xml:space="preserve"> год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A81E53" w:rsidRDefault="000C39C6">
            <w:pPr>
              <w:widowControl w:val="0"/>
              <w:tabs>
                <w:tab w:val="left" w:pos="2499"/>
              </w:tabs>
              <w:jc w:val="center"/>
            </w:pPr>
            <w:r>
              <w:t>Е.Е. Донцова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0C39C6">
            <w:pPr>
              <w:widowControl w:val="0"/>
              <w:jc w:val="both"/>
            </w:pPr>
            <w:r>
              <w:t xml:space="preserve">Осуществление контроля за соблюдением муниципальными служащими Администрации </w:t>
            </w:r>
            <w:r w:rsidR="000C39C6">
              <w:t>Грузиновского</w:t>
            </w:r>
            <w:r>
              <w:t xml:space="preserve">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A81E53" w:rsidRDefault="000C39C6" w:rsidP="000C39C6">
            <w:pPr>
              <w:widowControl w:val="0"/>
              <w:jc w:val="center"/>
            </w:pPr>
            <w:r>
              <w:t>Е.Е. Донцова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lastRenderedPageBreak/>
              <w:t>5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 xml:space="preserve">работы по  выявлению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5E5144" w:rsidP="00415B40">
            <w:pPr>
              <w:jc w:val="both"/>
            </w:pP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415B40" w:rsidRDefault="000C39C6" w:rsidP="000C39C6">
            <w:pPr>
              <w:widowControl w:val="0"/>
              <w:jc w:val="center"/>
            </w:pPr>
            <w:r>
              <w:t xml:space="preserve">Е.Е. Донцова </w:t>
            </w:r>
          </w:p>
          <w:p w:rsidR="000C39C6" w:rsidRDefault="000C39C6" w:rsidP="000C39C6">
            <w:pPr>
              <w:widowControl w:val="0"/>
              <w:jc w:val="center"/>
            </w:pPr>
            <w:r>
              <w:t>А.Н. Шаповалова</w:t>
            </w: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6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5E5144" w:rsidRDefault="000C39C6" w:rsidP="000C39C6">
            <w:pPr>
              <w:widowControl w:val="0"/>
              <w:ind w:right="567"/>
              <w:jc w:val="center"/>
            </w:pPr>
            <w:r>
              <w:t>А.Н. Шаповалова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jc w:val="center"/>
            </w:pPr>
            <w:r>
              <w:t xml:space="preserve">Е.Е. Донцова </w:t>
            </w:r>
          </w:p>
          <w:p w:rsidR="005E5144" w:rsidRDefault="005E5144">
            <w:pPr>
              <w:widowControl w:val="0"/>
              <w:tabs>
                <w:tab w:val="left" w:pos="2499"/>
              </w:tabs>
              <w:jc w:val="center"/>
            </w:pP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0C39C6">
            <w:pPr>
              <w:jc w:val="both"/>
            </w:pPr>
            <w:r>
              <w:t xml:space="preserve">О плане работы комиссии по противодействию коррупции в </w:t>
            </w:r>
            <w:r w:rsidR="000C39C6">
              <w:t>Грузиновском</w:t>
            </w:r>
            <w:r w:rsidR="00415B40">
              <w:t xml:space="preserve"> сельском поселении на 2020 г</w:t>
            </w:r>
            <w:r>
              <w:t>.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9C7EEB">
            <w:pPr>
              <w:widowControl w:val="0"/>
              <w:jc w:val="center"/>
            </w:pPr>
            <w:r>
              <w:t>середина декабря</w:t>
            </w:r>
            <w:bookmarkStart w:id="0" w:name="_GoBack"/>
            <w:bookmarkEnd w:id="0"/>
            <w:r w:rsidR="00784B1E">
              <w:t xml:space="preserve">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5E5144" w:rsidRDefault="005E5144">
            <w:pPr>
              <w:widowControl w:val="0"/>
              <w:tabs>
                <w:tab w:val="left" w:pos="2499"/>
              </w:tabs>
              <w:jc w:val="center"/>
            </w:pPr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 w:rsidSect="00F607B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5144"/>
    <w:rsid w:val="000C39C6"/>
    <w:rsid w:val="000E2AFA"/>
    <w:rsid w:val="00134F88"/>
    <w:rsid w:val="003750D4"/>
    <w:rsid w:val="00415B40"/>
    <w:rsid w:val="005566F4"/>
    <w:rsid w:val="005E5144"/>
    <w:rsid w:val="006E455A"/>
    <w:rsid w:val="00784B1E"/>
    <w:rsid w:val="009A7265"/>
    <w:rsid w:val="009C7EEB"/>
    <w:rsid w:val="009E7844"/>
    <w:rsid w:val="00A81E53"/>
    <w:rsid w:val="00C67453"/>
    <w:rsid w:val="00F6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rsid w:val="00F607BD"/>
    <w:pPr>
      <w:outlineLvl w:val="1"/>
    </w:pPr>
  </w:style>
  <w:style w:type="paragraph" w:styleId="3">
    <w:name w:val="heading 3"/>
    <w:basedOn w:val="a0"/>
    <w:rsid w:val="00F607B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rsid w:val="00F607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607BD"/>
    <w:pPr>
      <w:spacing w:after="140" w:line="288" w:lineRule="auto"/>
    </w:pPr>
  </w:style>
  <w:style w:type="paragraph" w:styleId="a6">
    <w:name w:val="List"/>
    <w:basedOn w:val="a5"/>
    <w:rsid w:val="00F607BD"/>
    <w:rPr>
      <w:rFonts w:cs="Mangal"/>
    </w:rPr>
  </w:style>
  <w:style w:type="paragraph" w:customStyle="1" w:styleId="11">
    <w:name w:val="Название1"/>
    <w:basedOn w:val="a"/>
    <w:rsid w:val="00F607B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F607BD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F607BD"/>
  </w:style>
  <w:style w:type="paragraph" w:customStyle="1" w:styleId="aa">
    <w:name w:val="Заглавие"/>
    <w:basedOn w:val="a0"/>
    <w:rsid w:val="00F607BD"/>
  </w:style>
  <w:style w:type="paragraph" w:styleId="ab">
    <w:name w:val="Subtitle"/>
    <w:basedOn w:val="a0"/>
    <w:rsid w:val="00F607BD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Грузиновский СДК</cp:lastModifiedBy>
  <cp:revision>3</cp:revision>
  <cp:lastPrinted>2020-01-20T07:44:00Z</cp:lastPrinted>
  <dcterms:created xsi:type="dcterms:W3CDTF">2022-03-22T08:13:00Z</dcterms:created>
  <dcterms:modified xsi:type="dcterms:W3CDTF">2022-03-22T08:45:00Z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